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соответствия на ВВГНГ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010/2011, 004/2011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