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Сертификат на сантехнику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соответствия</w:t>
      </w:r>
    </w:p>
    <w:p>
      <w:pPr>
        <w:spacing w:after="60"/>
      </w:pPr>
      <w:r>
        <w:rPr>
          <w:color w:val="626B73"/>
          <w:sz w:val="20"/>
        </w:rPr>
        <w:t xml:space="preserve">Регламент: определяется по коду ТН ВЭД ЕАЭС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 в лаборатории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нормативный документ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(для серийного выпуска)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