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Сертификация щитового оборудования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соответствия</w:t>
      </w:r>
    </w:p>
    <w:p>
      <w:pPr>
        <w:spacing w:after="60"/>
      </w:pPr>
      <w:r>
        <w:rPr>
          <w:color w:val="626B73"/>
          <w:sz w:val="20"/>
        </w:rPr>
        <w:t xml:space="preserve">Регламент: ТР ТС 010/2011, 004/2011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 и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испытаний в лаборатории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нормативный документ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(для серийного выпуска)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